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4EF75A6A" w:rsidR="00571609" w:rsidRPr="00534755" w:rsidRDefault="00C47955" w:rsidP="00774675">
      <w:pPr>
        <w:spacing w:after="0"/>
        <w:jc w:val="center"/>
        <w:rPr>
          <w:rFonts w:ascii="Cambria" w:hAnsi="Cambria"/>
          <w:b/>
          <w:sz w:val="80"/>
          <w:szCs w:val="80"/>
        </w:rPr>
      </w:pPr>
      <w:r>
        <w:rPr>
          <w:rFonts w:ascii="Cambria" w:hAnsi="Cambria"/>
          <w:b/>
          <w:sz w:val="80"/>
          <w:szCs w:val="80"/>
        </w:rPr>
        <w:t>PR No. 22 - 3726</w:t>
      </w:r>
    </w:p>
    <w:p w14:paraId="1EE794A6" w14:textId="418B1968" w:rsidR="00063890" w:rsidRPr="00534755" w:rsidRDefault="00242972" w:rsidP="00534755">
      <w:pPr>
        <w:spacing w:after="0"/>
        <w:jc w:val="center"/>
        <w:rPr>
          <w:rFonts w:ascii="Cambria" w:hAnsi="Cambria"/>
          <w:b/>
          <w:sz w:val="80"/>
          <w:szCs w:val="80"/>
        </w:rPr>
      </w:pPr>
      <w:r>
        <w:rPr>
          <w:rFonts w:ascii="Cambria" w:hAnsi="Cambria"/>
          <w:b/>
          <w:sz w:val="80"/>
          <w:szCs w:val="80"/>
        </w:rPr>
        <w:t>Supply &amp; Deliver</w:t>
      </w:r>
      <w:r w:rsidR="00C47955">
        <w:rPr>
          <w:rFonts w:ascii="Cambria" w:hAnsi="Cambria"/>
          <w:b/>
          <w:sz w:val="80"/>
          <w:szCs w:val="80"/>
        </w:rPr>
        <w:t>y of REAGENTS for COBAS C-111 CHEMISTRY ANALYZER</w:t>
      </w:r>
    </w:p>
    <w:p w14:paraId="6D055B35" w14:textId="77777777" w:rsidR="00534755" w:rsidRDefault="00534755"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w:t>
      </w:r>
      <w:r w:rsidRPr="00446516">
        <w:rPr>
          <w:rFonts w:ascii="Cambria" w:eastAsia="Times New Roman" w:hAnsi="Cambria" w:cs="Times New Roman"/>
          <w:color w:val="000000"/>
          <w:sz w:val="24"/>
          <w:lang w:eastAsia="en-PH"/>
        </w:rPr>
        <w:lastRenderedPageBreak/>
        <w:t xml:space="preserve">review services; (ii) pre-investment or feasibility studies; (iii) design; (iv) construction supervision; (v)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0486D539"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063D9D0D"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 xml:space="preserve">Supply &amp; Delivery of REAGENTS for </w:t>
      </w:r>
      <w:r w:rsidR="00C47955">
        <w:rPr>
          <w:rFonts w:ascii="Cambria" w:eastAsia="Arial" w:hAnsi="Cambria" w:cs="Arial"/>
          <w:b/>
          <w:i/>
          <w:color w:val="000000"/>
          <w:sz w:val="24"/>
          <w:lang w:eastAsia="en-PH"/>
        </w:rPr>
        <w:t>COBAS C-111 CHEMISTRY ANALYZER</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C47955">
        <w:rPr>
          <w:rFonts w:ascii="Cambria" w:eastAsia="Arial" w:hAnsi="Cambria" w:cs="Arial"/>
          <w:i/>
          <w:color w:val="000000"/>
          <w:sz w:val="24"/>
          <w:lang w:eastAsia="en-PH"/>
        </w:rPr>
        <w:t>2 – 3726</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2987250F"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w:t>
      </w:r>
      <w:r w:rsidR="00C47955">
        <w:rPr>
          <w:rFonts w:ascii="Cambria" w:eastAsia="Times New Roman" w:hAnsi="Cambria" w:cs="Times New Roman"/>
          <w:b/>
          <w:i/>
          <w:color w:val="000000"/>
          <w:sz w:val="24"/>
          <w:lang w:eastAsia="en-PH"/>
        </w:rPr>
        <w:t>y of REAGENTS for COBAS C-111 CHEMISTRY ANALYZER</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5CE2F8B1"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C47955">
        <w:rPr>
          <w:rFonts w:ascii="Cambria" w:eastAsia="Times New Roman" w:hAnsi="Cambria" w:cs="Times New Roman"/>
          <w:b/>
          <w:i/>
          <w:color w:val="000000"/>
          <w:sz w:val="24"/>
          <w:lang w:eastAsia="en-PH"/>
        </w:rPr>
        <w:t>Two Million One Hundred Ninety-Five Thousand Two Hundred One Pesos (Php 2,195,201</w:t>
      </w:r>
      <w:r w:rsidR="00534755">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341D7C54" w14:textId="77777777" w:rsidR="00242972" w:rsidRPr="00D86C14"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lastRenderedPageBreak/>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360F6971"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Supply &amp; Delivery of “</w:t>
            </w:r>
            <w:r w:rsidR="00242972">
              <w:rPr>
                <w:rFonts w:ascii="Cambria" w:eastAsia="Times New Roman" w:hAnsi="Cambria" w:cs="Times New Roman"/>
                <w:b/>
                <w:i/>
                <w:color w:val="000000"/>
                <w:sz w:val="24"/>
              </w:rPr>
              <w:t>MEDICAL</w:t>
            </w:r>
            <w:r w:rsidR="00C47955">
              <w:rPr>
                <w:rFonts w:ascii="Cambria" w:eastAsia="Times New Roman" w:hAnsi="Cambria" w:cs="Times New Roman"/>
                <w:b/>
                <w:i/>
                <w:color w:val="000000"/>
                <w:sz w:val="24"/>
              </w:rPr>
              <w:t>/LABORATORY</w:t>
            </w:r>
            <w:r w:rsidR="00242972">
              <w:rPr>
                <w:rFonts w:ascii="Cambria" w:eastAsia="Times New Roman" w:hAnsi="Cambria" w:cs="Times New Roman"/>
                <w:b/>
                <w:i/>
                <w:color w:val="000000"/>
                <w:sz w:val="24"/>
              </w:rPr>
              <w:t xml:space="preserve"> SUPPLIES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2E06E0E5" w14:textId="2A0E65B5"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Certificate of Product Registration (CPR) issued by FDA</w:t>
            </w:r>
            <w:r w:rsidR="0034044C">
              <w:rPr>
                <w:rFonts w:ascii="Cambria" w:eastAsia="Times New Roman" w:hAnsi="Cambria" w:cs="Times New Roman"/>
                <w:i/>
                <w:color w:val="000000"/>
                <w:sz w:val="24"/>
              </w:rPr>
              <w:t xml:space="preserve"> (for all items)</w:t>
            </w:r>
          </w:p>
          <w:p w14:paraId="58EE6C29" w14:textId="7EC3FCC5"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License to Ope</w:t>
            </w:r>
            <w:r w:rsidR="00563710">
              <w:rPr>
                <w:rFonts w:ascii="Cambria" w:eastAsia="Times New Roman" w:hAnsi="Cambria" w:cs="Times New Roman"/>
                <w:i/>
                <w:color w:val="000000"/>
                <w:sz w:val="24"/>
              </w:rPr>
              <w:t>rate (LTO) approved by FDA to deal with the products being procured;</w:t>
            </w:r>
            <w:bookmarkStart w:id="23" w:name="_GoBack"/>
            <w:bookmarkEnd w:id="23"/>
          </w:p>
          <w:p w14:paraId="6EFC79BC" w14:textId="0F0BC8AA" w:rsidR="00E77701" w:rsidRPr="00846410" w:rsidRDefault="00C97569"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4. </w:t>
            </w:r>
            <w:r w:rsidR="00391E15">
              <w:rPr>
                <w:rFonts w:ascii="Cambria" w:eastAsia="Times New Roman" w:hAnsi="Cambria" w:cs="Times New Roman"/>
                <w:i/>
                <w:color w:val="000000"/>
                <w:sz w:val="24"/>
              </w:rPr>
              <w:t>Material Safety Data Sheet for all items.</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0F3A68A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4" w:name="_Toc53923896"/>
      <w:r w:rsidRPr="00D86C14">
        <w:rPr>
          <w:rFonts w:ascii="Cambria" w:eastAsia="Times New Roman" w:hAnsi="Cambria" w:cs="Times New Roman"/>
          <w:b/>
          <w:color w:val="000000"/>
          <w:sz w:val="28"/>
          <w:lang w:eastAsia="en-PH"/>
        </w:rPr>
        <w:lastRenderedPageBreak/>
        <w:t>Scope of Contract</w:t>
      </w:r>
      <w:bookmarkEnd w:id="24"/>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5" w:name="_Toc53923897"/>
      <w:r w:rsidRPr="00D86C14">
        <w:rPr>
          <w:rFonts w:ascii="Cambria" w:eastAsia="Times New Roman" w:hAnsi="Cambria" w:cs="Times New Roman"/>
          <w:b/>
          <w:color w:val="000000"/>
          <w:sz w:val="28"/>
          <w:lang w:eastAsia="en-PH"/>
        </w:rPr>
        <w:t>Advance Payment and Terms of Payment</w:t>
      </w:r>
      <w:bookmarkEnd w:id="25"/>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6" w:name="_Toc53923898"/>
      <w:r w:rsidRPr="00D86C14">
        <w:rPr>
          <w:rFonts w:ascii="Cambria" w:eastAsia="Times New Roman" w:hAnsi="Cambria" w:cs="Times New Roman"/>
          <w:b/>
          <w:color w:val="000000"/>
          <w:sz w:val="28"/>
          <w:lang w:eastAsia="en-PH"/>
        </w:rPr>
        <w:t>Inspection and Tests</w:t>
      </w:r>
      <w:bookmarkEnd w:id="26"/>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7" w:name="_Toc53923899"/>
      <w:r w:rsidRPr="00D86C14">
        <w:rPr>
          <w:rFonts w:ascii="Cambria" w:eastAsia="Times New Roman" w:hAnsi="Cambria" w:cs="Times New Roman"/>
          <w:b/>
          <w:color w:val="000000"/>
          <w:sz w:val="28"/>
          <w:lang w:eastAsia="en-PH"/>
        </w:rPr>
        <w:t>Warranty</w:t>
      </w:r>
      <w:bookmarkEnd w:id="27"/>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8" w:name="_Toc53923900"/>
      <w:r w:rsidRPr="00D86C14">
        <w:rPr>
          <w:rFonts w:ascii="Cambria" w:eastAsia="Times New Roman" w:hAnsi="Cambria" w:cs="Times New Roman"/>
          <w:b/>
          <w:color w:val="000000"/>
          <w:sz w:val="28"/>
          <w:lang w:eastAsia="en-PH"/>
        </w:rPr>
        <w:t>Liability of the Supplier</w:t>
      </w:r>
      <w:bookmarkEnd w:id="28"/>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9"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9"/>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E47698">
        <w:trPr>
          <w:trHeight w:val="9404"/>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0956FDAD" w14:textId="514365A1" w:rsidR="00391E15" w:rsidRPr="00E47698"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0C5939B9" w14:textId="2800E841" w:rsidR="008D6B01" w:rsidRPr="008D6B01" w:rsidRDefault="008D6B01" w:rsidP="004F142D">
            <w:pPr>
              <w:rPr>
                <w:rFonts w:ascii="Times New Roman" w:eastAsia="Times New Roman" w:hAnsi="Times New Roman" w:cs="Times New Roman"/>
                <w:color w:val="000000"/>
                <w:sz w:val="24"/>
              </w:rPr>
            </w:pPr>
          </w:p>
          <w:p w14:paraId="661CEDCA" w14:textId="0E484F72" w:rsidR="00E0298E" w:rsidRPr="00E47698" w:rsidRDefault="008D6B01" w:rsidP="00E47698">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2658AD39"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w:t>
            </w:r>
            <w:r w:rsidR="00391E15">
              <w:rPr>
                <w:rFonts w:ascii="Cambria" w:eastAsia="Times New Roman" w:hAnsi="Cambria" w:cs="Times New Roman"/>
                <w:i/>
                <w:sz w:val="24"/>
                <w:szCs w:val="24"/>
                <w:lang w:val="en-US"/>
              </w:rPr>
              <w:t>n of goods must be at least one (1) year</w:t>
            </w:r>
            <w:r>
              <w:rPr>
                <w:rFonts w:ascii="Cambria" w:eastAsia="Times New Roman" w:hAnsi="Cambria" w:cs="Times New Roman"/>
                <w:i/>
                <w:sz w:val="24"/>
                <w:szCs w:val="24"/>
                <w:lang w:val="en-US"/>
              </w:rPr>
              <w:t xml:space="preserve">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5D8FA116" w:rsidR="002E513D" w:rsidRDefault="002E513D"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 xml:space="preserve">Replacement </w:t>
            </w:r>
            <w:r w:rsidR="00391E15">
              <w:rPr>
                <w:rFonts w:ascii="Cambria" w:eastAsia="Times New Roman" w:hAnsi="Cambria" w:cs="Times New Roman"/>
                <w:i/>
                <w:sz w:val="24"/>
                <w:szCs w:val="24"/>
                <w:lang w:val="en-US"/>
              </w:rPr>
              <w:t>of defective products delivered shall be replaced without cost to the Procuring Entity within 24 hours.</w:t>
            </w:r>
          </w:p>
        </w:tc>
      </w:tr>
    </w:tbl>
    <w:p w14:paraId="4E67424B" w14:textId="7CF6DD11"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618E4278" w14:textId="57A1A50C"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6F45AD00" w14:textId="7A0624A1"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58B82C5F" w14:textId="77777777"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68A5569B" w:rsidR="00AB300D" w:rsidRDefault="00AB300D" w:rsidP="003D3349">
      <w:pPr>
        <w:rPr>
          <w:rFonts w:ascii="Cambria" w:hAnsi="Cambria"/>
          <w:i/>
          <w:sz w:val="28"/>
          <w:szCs w:val="28"/>
        </w:rPr>
      </w:pPr>
    </w:p>
    <w:p w14:paraId="30217E90" w14:textId="340D6AC2" w:rsidR="00E47698" w:rsidRPr="003D3349" w:rsidRDefault="00E47698"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72E254CA" w14:textId="5AD55CB5" w:rsidR="007D715E" w:rsidRPr="000C7A94" w:rsidRDefault="00A43854" w:rsidP="00A43854">
            <w:pPr>
              <w:jc w:val="left"/>
              <w:rPr>
                <w:rFonts w:ascii="Cambria" w:hAnsi="Cambria"/>
                <w:sz w:val="32"/>
                <w:szCs w:val="32"/>
              </w:rPr>
            </w:pPr>
            <w:r>
              <w:rPr>
                <w:rFonts w:ascii="Cambria" w:hAnsi="Cambria"/>
                <w:sz w:val="32"/>
                <w:szCs w:val="32"/>
              </w:rPr>
              <w:t>Supply &amp; Deliver</w:t>
            </w:r>
            <w:r w:rsidR="00C47955">
              <w:rPr>
                <w:rFonts w:ascii="Cambria" w:hAnsi="Cambria"/>
                <w:sz w:val="32"/>
                <w:szCs w:val="32"/>
              </w:rPr>
              <w:t>y of REAGENTS for COBAS C-111 CHEMISTRY ANALYZER</w:t>
            </w: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79D3BCEC" w14:textId="1BEA3402" w:rsidR="00A43854" w:rsidRPr="00E47698" w:rsidRDefault="00A43854" w:rsidP="00E47698">
            <w:pPr>
              <w:jc w:val="left"/>
              <w:rPr>
                <w:rFonts w:ascii="Cambria" w:hAnsi="Cambria"/>
                <w:sz w:val="32"/>
                <w:szCs w:val="32"/>
              </w:rPr>
            </w:pPr>
            <w:r>
              <w:rPr>
                <w:rFonts w:ascii="Cambria" w:hAnsi="Cambria"/>
                <w:sz w:val="32"/>
                <w:szCs w:val="32"/>
              </w:rPr>
              <w:t>Delivery within Five (5</w:t>
            </w:r>
            <w:r w:rsidR="00766BBA">
              <w:rPr>
                <w:rFonts w:ascii="Cambria" w:hAnsi="Cambria"/>
                <w:sz w:val="32"/>
                <w:szCs w:val="32"/>
              </w:rPr>
              <w:t>) calendar days upon receipt of Notice to Proceed</w:t>
            </w: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55306827" w14:textId="77777777" w:rsidR="00A43854" w:rsidRDefault="00A43854" w:rsidP="00D15691">
      <w:pPr>
        <w:ind w:left="454" w:right="607"/>
        <w:jc w:val="both"/>
        <w:rPr>
          <w:rFonts w:ascii="Cambria" w:hAnsi="Cambria"/>
          <w:b/>
          <w:szCs w:val="24"/>
        </w:rPr>
      </w:pPr>
    </w:p>
    <w:p w14:paraId="4BC0BB26" w14:textId="65440D19" w:rsidR="00A43854" w:rsidRPr="00A43854" w:rsidRDefault="00A43854" w:rsidP="00A43854">
      <w:pPr>
        <w:spacing w:line="236" w:lineRule="auto"/>
        <w:jc w:val="both"/>
        <w:rPr>
          <w:rFonts w:ascii="Times New Roman" w:eastAsia="Times New Roman" w:hAnsi="Times New Roman" w:cs="Times New Roman"/>
          <w:b/>
          <w:i/>
          <w:color w:val="000000"/>
          <w:sz w:val="24"/>
        </w:rPr>
      </w:pPr>
      <w:r>
        <w:rPr>
          <w:rFonts w:ascii="Times New Roman" w:eastAsia="Times New Roman" w:hAnsi="Times New Roman" w:cs="Times New Roman"/>
          <w:i/>
          <w:color w:val="000000"/>
          <w:sz w:val="24"/>
        </w:rPr>
        <w:tab/>
      </w:r>
      <w:r w:rsidRPr="00A43854">
        <w:rPr>
          <w:rFonts w:ascii="Times New Roman" w:eastAsia="Times New Roman" w:hAnsi="Times New Roman" w:cs="Times New Roman"/>
          <w:b/>
          <w:i/>
          <w:color w:val="000000"/>
          <w:sz w:val="24"/>
        </w:rPr>
        <w:t>Additional Condition</w:t>
      </w:r>
      <w:r>
        <w:rPr>
          <w:rFonts w:ascii="Times New Roman" w:eastAsia="Times New Roman" w:hAnsi="Times New Roman" w:cs="Times New Roman"/>
          <w:b/>
          <w:i/>
          <w:color w:val="000000"/>
          <w:sz w:val="24"/>
        </w:rPr>
        <w:t>/Instruction</w:t>
      </w:r>
      <w:r w:rsidRPr="00A43854">
        <w:rPr>
          <w:rFonts w:ascii="Times New Roman" w:eastAsia="Times New Roman" w:hAnsi="Times New Roman" w:cs="Times New Roman"/>
          <w:b/>
          <w:i/>
          <w:color w:val="000000"/>
          <w:sz w:val="24"/>
        </w:rPr>
        <w:t>:</w:t>
      </w:r>
    </w:p>
    <w:p w14:paraId="646B812D" w14:textId="3D4AC789" w:rsidR="00A43854" w:rsidRDefault="00A43854"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1. With valid inventory at least twice the quantity required for the items to be bi</w:t>
      </w:r>
      <w:r w:rsidR="00E47698">
        <w:rPr>
          <w:rFonts w:ascii="Times New Roman" w:eastAsia="Times New Roman" w:hAnsi="Times New Roman" w:cs="Times New Roman"/>
          <w:i/>
          <w:color w:val="000000"/>
          <w:sz w:val="24"/>
        </w:rPr>
        <w:t>d;</w:t>
      </w:r>
    </w:p>
    <w:p w14:paraId="65A97503" w14:textId="7D865572" w:rsidR="00E47698"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2. Progressive Delivery &amp; Billing;</w:t>
      </w:r>
    </w:p>
    <w:p w14:paraId="1E5C1B04" w14:textId="075E619D" w:rsidR="00E47698" w:rsidRPr="00613BBB" w:rsidRDefault="00E47698" w:rsidP="00E47698">
      <w:pPr>
        <w:spacing w:after="0" w:line="236" w:lineRule="auto"/>
        <w:ind w:firstLine="72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3. Quantity and Date of Delivery shall be subject to at least five (5) days notification by the end-user.</w:t>
      </w:r>
    </w:p>
    <w:p w14:paraId="105A1917" w14:textId="4D04C4D3" w:rsidR="000C7A94" w:rsidRDefault="000C7A94" w:rsidP="00E47698">
      <w:pPr>
        <w:spacing w:after="0"/>
        <w:ind w:right="607"/>
        <w:jc w:val="both"/>
        <w:rPr>
          <w:rFonts w:ascii="Cambria" w:hAnsi="Cambria"/>
          <w:b/>
          <w:szCs w:val="24"/>
        </w:rPr>
      </w:pPr>
    </w:p>
    <w:p w14:paraId="539C25A2" w14:textId="77777777" w:rsidR="00E47698" w:rsidRDefault="00E47698" w:rsidP="000C7A94">
      <w:pPr>
        <w:ind w:left="454" w:right="607" w:firstLine="266"/>
        <w:jc w:val="both"/>
        <w:rPr>
          <w:rFonts w:ascii="Cambria" w:hAnsi="Cambria"/>
          <w:b/>
          <w:szCs w:val="24"/>
        </w:rPr>
      </w:pPr>
    </w:p>
    <w:p w14:paraId="0CF526DA" w14:textId="7D341F27"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C47955">
      <w:pPr>
        <w:spacing w:after="0"/>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E47698" w:rsidRDefault="006E3EAA" w:rsidP="00C47955">
      <w:pPr>
        <w:spacing w:after="0"/>
        <w:ind w:left="454" w:right="607"/>
        <w:jc w:val="both"/>
        <w:rPr>
          <w:rFonts w:ascii="Cambria" w:hAnsi="Cambria"/>
          <w:szCs w:val="24"/>
        </w:rPr>
      </w:pPr>
      <w:r>
        <w:rPr>
          <w:rFonts w:ascii="Cambria" w:hAnsi="Cambria"/>
          <w:b/>
          <w:szCs w:val="24"/>
        </w:rPr>
        <w:tab/>
      </w:r>
      <w:r w:rsidR="00E3694C" w:rsidRPr="00E47698">
        <w:rPr>
          <w:rFonts w:ascii="Cambria" w:hAnsi="Cambria"/>
          <w:szCs w:val="24"/>
        </w:rPr>
        <w:t>Name of Company/Bidder</w:t>
      </w:r>
    </w:p>
    <w:p w14:paraId="5FBAFC6D" w14:textId="77777777" w:rsidR="00E3694C" w:rsidRPr="00E47698" w:rsidRDefault="00E3694C" w:rsidP="00D15691">
      <w:pPr>
        <w:ind w:left="454" w:right="607"/>
        <w:jc w:val="both"/>
        <w:rPr>
          <w:rFonts w:ascii="Cambria" w:hAnsi="Cambria"/>
          <w:szCs w:val="24"/>
        </w:rPr>
      </w:pPr>
    </w:p>
    <w:p w14:paraId="2372D3B7" w14:textId="77777777" w:rsidR="00E3694C" w:rsidRPr="00E47698" w:rsidRDefault="00E3694C" w:rsidP="00D15691">
      <w:pPr>
        <w:ind w:left="454" w:right="607"/>
        <w:jc w:val="both"/>
        <w:rPr>
          <w:rFonts w:ascii="Cambria" w:hAnsi="Cambria"/>
          <w:szCs w:val="24"/>
        </w:rPr>
      </w:pPr>
    </w:p>
    <w:p w14:paraId="0730DF76" w14:textId="2F562B56"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_______________________________________________________</w:t>
      </w:r>
    </w:p>
    <w:p w14:paraId="78F96C62" w14:textId="17C960A8"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Signature Over Printed Name of Representative</w:t>
      </w:r>
    </w:p>
    <w:p w14:paraId="13BFE67D" w14:textId="77777777" w:rsidR="00E3694C" w:rsidRPr="00E47698" w:rsidRDefault="00E3694C" w:rsidP="00D15691">
      <w:pPr>
        <w:ind w:left="454" w:right="607"/>
        <w:jc w:val="both"/>
        <w:rPr>
          <w:rFonts w:ascii="Cambria" w:hAnsi="Cambria"/>
          <w:szCs w:val="24"/>
        </w:rPr>
      </w:pPr>
    </w:p>
    <w:p w14:paraId="43F9F8B1" w14:textId="77777777" w:rsidR="00E3694C" w:rsidRPr="00E47698" w:rsidRDefault="00E3694C" w:rsidP="00D15691">
      <w:pPr>
        <w:ind w:left="454" w:right="607"/>
        <w:jc w:val="both"/>
        <w:rPr>
          <w:rFonts w:ascii="Cambria" w:hAnsi="Cambria"/>
          <w:szCs w:val="24"/>
        </w:rPr>
      </w:pPr>
    </w:p>
    <w:p w14:paraId="67C66960" w14:textId="238DBB6A"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w:t>
      </w:r>
    </w:p>
    <w:p w14:paraId="41C5883A" w14:textId="0F5B95B2"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Date</w:t>
      </w:r>
    </w:p>
    <w:p w14:paraId="5207F8AE" w14:textId="77777777" w:rsidR="00E3694C" w:rsidRPr="00E47698"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747C659F" w:rsidR="00145CA1" w:rsidRDefault="00145CA1" w:rsidP="00446516">
      <w:pPr>
        <w:rPr>
          <w:rFonts w:ascii="Cambria" w:hAnsi="Cambria"/>
        </w:rPr>
      </w:pPr>
    </w:p>
    <w:p w14:paraId="635389FB" w14:textId="77777777" w:rsidR="00C47955" w:rsidRDefault="00C47955" w:rsidP="00446516">
      <w:pPr>
        <w:rPr>
          <w:rFonts w:ascii="Cambria" w:hAnsi="Cambria"/>
        </w:rPr>
      </w:pPr>
    </w:p>
    <w:p w14:paraId="1172A5D1" w14:textId="38F67699" w:rsidR="00766BBA" w:rsidRDefault="00766BBA"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63E20B53" w:rsidR="00BF0552" w:rsidRDefault="00921FD0" w:rsidP="00725791">
      <w:pPr>
        <w:spacing w:after="0" w:line="247" w:lineRule="auto"/>
        <w:ind w:left="397" w:right="578"/>
        <w:jc w:val="center"/>
        <w:rPr>
          <w:rFonts w:ascii="Castellar" w:eastAsia="Times New Roman" w:hAnsi="Castellar" w:cs="Times New Roman"/>
          <w:b/>
          <w:color w:val="000000"/>
          <w:sz w:val="72"/>
          <w:szCs w:val="72"/>
          <w:lang w:eastAsia="en-PH"/>
        </w:rPr>
      </w:pPr>
      <w:r w:rsidRPr="00921FD0">
        <w:rPr>
          <w:noProof/>
          <w:lang w:eastAsia="en-PH"/>
        </w:rPr>
        <w:lastRenderedPageBreak/>
        <w:drawing>
          <wp:inline distT="0" distB="0" distL="0" distR="0" wp14:anchorId="35BBF43E" wp14:editId="54E12412">
            <wp:extent cx="6735536" cy="106299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9989" cy="10636928"/>
                    </a:xfrm>
                    <a:prstGeom prst="rect">
                      <a:avLst/>
                    </a:prstGeom>
                    <a:noFill/>
                    <a:ln>
                      <a:noFill/>
                    </a:ln>
                  </pic:spPr>
                </pic:pic>
              </a:graphicData>
            </a:graphic>
          </wp:inline>
        </w:drawing>
      </w:r>
    </w:p>
    <w:p w14:paraId="09106B62" w14:textId="77777777" w:rsidR="00C47955" w:rsidRDefault="00C47955" w:rsidP="00725791">
      <w:pPr>
        <w:spacing w:after="0" w:line="247" w:lineRule="auto"/>
        <w:ind w:left="397" w:right="578"/>
        <w:jc w:val="center"/>
        <w:rPr>
          <w:rFonts w:ascii="Castellar" w:eastAsia="Times New Roman" w:hAnsi="Castellar" w:cs="Times New Roman"/>
          <w:b/>
          <w:color w:val="000000"/>
          <w:sz w:val="72"/>
          <w:szCs w:val="72"/>
          <w:lang w:eastAsia="en-PH"/>
        </w:rPr>
      </w:pPr>
    </w:p>
    <w:p w14:paraId="6B9CDC85" w14:textId="44DC19ED" w:rsidR="00AB300D" w:rsidRDefault="00C47955" w:rsidP="00587C86">
      <w:pPr>
        <w:spacing w:after="0" w:line="247" w:lineRule="auto"/>
        <w:ind w:right="578"/>
        <w:rPr>
          <w:rFonts w:ascii="Castellar" w:eastAsia="Times New Roman" w:hAnsi="Castellar" w:cs="Times New Roman"/>
          <w:b/>
          <w:color w:val="000000"/>
          <w:sz w:val="72"/>
          <w:szCs w:val="72"/>
          <w:lang w:eastAsia="en-PH"/>
        </w:rPr>
      </w:pPr>
      <w:r w:rsidRPr="00C47955">
        <w:rPr>
          <w:noProof/>
          <w:lang w:eastAsia="en-PH"/>
        </w:rPr>
        <w:drawing>
          <wp:inline distT="0" distB="0" distL="0" distR="0" wp14:anchorId="72CC707A" wp14:editId="618EF865">
            <wp:extent cx="6985000" cy="409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000" cy="4095750"/>
                    </a:xfrm>
                    <a:prstGeom prst="rect">
                      <a:avLst/>
                    </a:prstGeom>
                    <a:noFill/>
                    <a:ln>
                      <a:noFill/>
                    </a:ln>
                  </pic:spPr>
                </pic:pic>
              </a:graphicData>
            </a:graphic>
          </wp:inline>
        </w:drawing>
      </w:r>
    </w:p>
    <w:p w14:paraId="69EDE741" w14:textId="4C84144B"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020B5CAA" w14:textId="1DDB6C5B"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05D89802" w14:textId="6105FB68"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3D8A9E19" w14:textId="2B1FA96E"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78B39A5A" w14:textId="0763D792"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1C51A8EC" w14:textId="095ABE8D"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794CD5C0" w14:textId="4052F90B"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4A28E1E1" w14:textId="155C676B"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14F8342A" w14:textId="76A4F7C3"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31C1F385" w14:textId="77777777"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7113E28A" w14:textId="77777777"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15D18011" w:rsidR="00557706" w:rsidRDefault="00557706" w:rsidP="00ED7570">
      <w:pPr>
        <w:jc w:val="center"/>
        <w:rPr>
          <w:rFonts w:ascii="Cambria" w:hAnsi="Cambria"/>
          <w:b/>
          <w:i/>
          <w:sz w:val="40"/>
          <w:szCs w:val="40"/>
        </w:rPr>
      </w:pPr>
    </w:p>
    <w:p w14:paraId="212AC1FA" w14:textId="316F940F" w:rsidR="00E47698" w:rsidRDefault="00E47698" w:rsidP="00ED7570">
      <w:pPr>
        <w:jc w:val="center"/>
        <w:rPr>
          <w:rFonts w:ascii="Cambria" w:hAnsi="Cambria"/>
          <w:b/>
          <w:i/>
          <w:sz w:val="40"/>
          <w:szCs w:val="40"/>
        </w:rPr>
      </w:pPr>
      <w:r>
        <w:lastRenderedPageBreak/>
        <w:t xml:space="preserve"> </w:t>
      </w:r>
      <w:r w:rsidRPr="00E47698">
        <w:rPr>
          <w:noProof/>
          <w:lang w:eastAsia="en-PH"/>
        </w:rPr>
        <w:drawing>
          <wp:inline distT="0" distB="0" distL="0" distR="0" wp14:anchorId="7694D42C" wp14:editId="20E73A45">
            <wp:extent cx="6887727" cy="1054183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2952" cy="10549834"/>
                    </a:xfrm>
                    <a:prstGeom prst="rect">
                      <a:avLst/>
                    </a:prstGeom>
                    <a:noFill/>
                    <a:ln>
                      <a:noFill/>
                    </a:ln>
                  </pic:spPr>
                </pic:pic>
              </a:graphicData>
            </a:graphic>
          </wp:inline>
        </w:drawing>
      </w:r>
    </w:p>
    <w:p w14:paraId="7661ED08" w14:textId="0A639C40" w:rsidR="00557706" w:rsidRDefault="00557706" w:rsidP="00ED7570">
      <w:pPr>
        <w:jc w:val="center"/>
        <w:rPr>
          <w:rFonts w:ascii="Cambria" w:hAnsi="Cambria"/>
          <w:b/>
          <w:i/>
          <w:sz w:val="40"/>
          <w:szCs w:val="40"/>
        </w:rPr>
      </w:pP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drawing>
          <wp:inline distT="0" distB="0" distL="0" distR="0" wp14:anchorId="2BE7EADD" wp14:editId="036D05CB">
            <wp:extent cx="7053580" cy="60477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3580" cy="6047740"/>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5"/>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1108" w14:textId="77777777" w:rsidR="00025DBE" w:rsidRDefault="00025DBE" w:rsidP="00AD3BCE">
      <w:pPr>
        <w:spacing w:after="0" w:line="240" w:lineRule="auto"/>
      </w:pPr>
      <w:r>
        <w:separator/>
      </w:r>
    </w:p>
  </w:endnote>
  <w:endnote w:type="continuationSeparator" w:id="0">
    <w:p w14:paraId="7ABE5EF5" w14:textId="77777777" w:rsidR="00025DBE" w:rsidRDefault="00025DBE"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7BD4C411" w:rsidR="00A43854" w:rsidRDefault="00A43854">
        <w:pPr>
          <w:pStyle w:val="Footer"/>
          <w:jc w:val="center"/>
        </w:pPr>
        <w:r>
          <w:fldChar w:fldCharType="begin"/>
        </w:r>
        <w:r>
          <w:instrText xml:space="preserve"> PAGE   \* MERGEFORMAT </w:instrText>
        </w:r>
        <w:r>
          <w:fldChar w:fldCharType="separate"/>
        </w:r>
        <w:r w:rsidR="00563710">
          <w:rPr>
            <w:noProof/>
          </w:rPr>
          <w:t>16</w:t>
        </w:r>
        <w:r>
          <w:rPr>
            <w:noProof/>
          </w:rPr>
          <w:fldChar w:fldCharType="end"/>
        </w:r>
      </w:p>
    </w:sdtContent>
  </w:sdt>
  <w:p w14:paraId="2AB2A448" w14:textId="77777777" w:rsidR="00A43854" w:rsidRDefault="00A43854">
    <w:pPr>
      <w:pStyle w:val="Footer"/>
    </w:pPr>
  </w:p>
  <w:p w14:paraId="0E87A9F9" w14:textId="77777777" w:rsidR="00A43854" w:rsidRDefault="00A438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71EF" w14:textId="77777777" w:rsidR="00025DBE" w:rsidRDefault="00025DBE" w:rsidP="00AD3BCE">
      <w:pPr>
        <w:spacing w:after="0" w:line="240" w:lineRule="auto"/>
      </w:pPr>
      <w:r>
        <w:separator/>
      </w:r>
    </w:p>
  </w:footnote>
  <w:footnote w:type="continuationSeparator" w:id="0">
    <w:p w14:paraId="535ADA46" w14:textId="77777777" w:rsidR="00025DBE" w:rsidRDefault="00025DBE" w:rsidP="00AD3BCE">
      <w:pPr>
        <w:spacing w:after="0" w:line="240" w:lineRule="auto"/>
      </w:pPr>
      <w:r>
        <w:continuationSeparator/>
      </w:r>
    </w:p>
  </w:footnote>
  <w:footnote w:id="1">
    <w:p w14:paraId="7CB1959C" w14:textId="77777777" w:rsidR="00A43854" w:rsidRDefault="00A43854"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30F126D"/>
    <w:multiLevelType w:val="hybridMultilevel"/>
    <w:tmpl w:val="C1BCE526"/>
    <w:lvl w:ilvl="0" w:tplc="34090001">
      <w:start w:val="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7"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10"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1"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2"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7"/>
  </w:num>
  <w:num w:numId="4">
    <w:abstractNumId w:val="11"/>
  </w:num>
  <w:num w:numId="5">
    <w:abstractNumId w:val="3"/>
  </w:num>
  <w:num w:numId="6">
    <w:abstractNumId w:val="2"/>
  </w:num>
  <w:num w:numId="7">
    <w:abstractNumId w:val="9"/>
  </w:num>
  <w:num w:numId="8">
    <w:abstractNumId w:val="6"/>
  </w:num>
  <w:num w:numId="9">
    <w:abstractNumId w:val="0"/>
  </w:num>
  <w:num w:numId="10">
    <w:abstractNumId w:val="1"/>
  </w:num>
  <w:num w:numId="11">
    <w:abstractNumId w:val="10"/>
  </w:num>
  <w:num w:numId="12">
    <w:abstractNumId w:val="4"/>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23A8F"/>
    <w:rsid w:val="00025DBE"/>
    <w:rsid w:val="00047906"/>
    <w:rsid w:val="000520DF"/>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44FA"/>
    <w:rsid w:val="000D7863"/>
    <w:rsid w:val="000E0A35"/>
    <w:rsid w:val="000E0DE2"/>
    <w:rsid w:val="000E2EB5"/>
    <w:rsid w:val="000E6A97"/>
    <w:rsid w:val="000E7A97"/>
    <w:rsid w:val="000F6C1A"/>
    <w:rsid w:val="001059C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23D4"/>
    <w:rsid w:val="001B3CBE"/>
    <w:rsid w:val="001C248E"/>
    <w:rsid w:val="001D385C"/>
    <w:rsid w:val="001D5F5F"/>
    <w:rsid w:val="00200AFF"/>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044C"/>
    <w:rsid w:val="0034696D"/>
    <w:rsid w:val="00356C00"/>
    <w:rsid w:val="00360BDC"/>
    <w:rsid w:val="00380666"/>
    <w:rsid w:val="00382BFF"/>
    <w:rsid w:val="00386200"/>
    <w:rsid w:val="00387DA8"/>
    <w:rsid w:val="00390933"/>
    <w:rsid w:val="00391E15"/>
    <w:rsid w:val="003928EC"/>
    <w:rsid w:val="0039690C"/>
    <w:rsid w:val="003A0360"/>
    <w:rsid w:val="003A2038"/>
    <w:rsid w:val="003D3349"/>
    <w:rsid w:val="003D5535"/>
    <w:rsid w:val="00411FCA"/>
    <w:rsid w:val="00413E6B"/>
    <w:rsid w:val="00421916"/>
    <w:rsid w:val="00422A51"/>
    <w:rsid w:val="00423F62"/>
    <w:rsid w:val="004326AC"/>
    <w:rsid w:val="00446516"/>
    <w:rsid w:val="00472D56"/>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2D21"/>
    <w:rsid w:val="00534755"/>
    <w:rsid w:val="005477CD"/>
    <w:rsid w:val="005500E6"/>
    <w:rsid w:val="00550B8A"/>
    <w:rsid w:val="00557706"/>
    <w:rsid w:val="00560609"/>
    <w:rsid w:val="00560640"/>
    <w:rsid w:val="00561E1E"/>
    <w:rsid w:val="00563710"/>
    <w:rsid w:val="00571609"/>
    <w:rsid w:val="005746A9"/>
    <w:rsid w:val="005774BB"/>
    <w:rsid w:val="00587C86"/>
    <w:rsid w:val="00590981"/>
    <w:rsid w:val="005A0A5C"/>
    <w:rsid w:val="005A1864"/>
    <w:rsid w:val="005A4C92"/>
    <w:rsid w:val="005B3FA4"/>
    <w:rsid w:val="005C06A0"/>
    <w:rsid w:val="005D2273"/>
    <w:rsid w:val="005E59E2"/>
    <w:rsid w:val="005F165B"/>
    <w:rsid w:val="005F44D8"/>
    <w:rsid w:val="005F691C"/>
    <w:rsid w:val="006035CF"/>
    <w:rsid w:val="006067EC"/>
    <w:rsid w:val="00612043"/>
    <w:rsid w:val="00613BBB"/>
    <w:rsid w:val="00622D8A"/>
    <w:rsid w:val="006247ED"/>
    <w:rsid w:val="006303E3"/>
    <w:rsid w:val="0063370F"/>
    <w:rsid w:val="00634818"/>
    <w:rsid w:val="00637F2D"/>
    <w:rsid w:val="00652006"/>
    <w:rsid w:val="0066614F"/>
    <w:rsid w:val="00676A98"/>
    <w:rsid w:val="006777EC"/>
    <w:rsid w:val="006869F8"/>
    <w:rsid w:val="0069772B"/>
    <w:rsid w:val="00697F1A"/>
    <w:rsid w:val="006A15D3"/>
    <w:rsid w:val="006A379A"/>
    <w:rsid w:val="006B0516"/>
    <w:rsid w:val="006B69B1"/>
    <w:rsid w:val="006C265E"/>
    <w:rsid w:val="006D14B9"/>
    <w:rsid w:val="006D2CDC"/>
    <w:rsid w:val="006D544C"/>
    <w:rsid w:val="006E3EAA"/>
    <w:rsid w:val="00703DD0"/>
    <w:rsid w:val="00706498"/>
    <w:rsid w:val="00712440"/>
    <w:rsid w:val="00713BC2"/>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1FD0"/>
    <w:rsid w:val="00925151"/>
    <w:rsid w:val="0093183E"/>
    <w:rsid w:val="00933C29"/>
    <w:rsid w:val="00933E96"/>
    <w:rsid w:val="00950D0A"/>
    <w:rsid w:val="0095324F"/>
    <w:rsid w:val="00953F3B"/>
    <w:rsid w:val="009610BB"/>
    <w:rsid w:val="00962D35"/>
    <w:rsid w:val="00967B78"/>
    <w:rsid w:val="00970BB9"/>
    <w:rsid w:val="009730DA"/>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43854"/>
    <w:rsid w:val="00A57F86"/>
    <w:rsid w:val="00A663DA"/>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F0552"/>
    <w:rsid w:val="00BF4FF8"/>
    <w:rsid w:val="00C051A5"/>
    <w:rsid w:val="00C07AF1"/>
    <w:rsid w:val="00C11CDA"/>
    <w:rsid w:val="00C13F75"/>
    <w:rsid w:val="00C47955"/>
    <w:rsid w:val="00C53E60"/>
    <w:rsid w:val="00C56D73"/>
    <w:rsid w:val="00C768F4"/>
    <w:rsid w:val="00C81887"/>
    <w:rsid w:val="00C823BB"/>
    <w:rsid w:val="00C8453B"/>
    <w:rsid w:val="00C905A0"/>
    <w:rsid w:val="00C97569"/>
    <w:rsid w:val="00CA3C22"/>
    <w:rsid w:val="00CA566C"/>
    <w:rsid w:val="00CB181D"/>
    <w:rsid w:val="00CB53B2"/>
    <w:rsid w:val="00CC016C"/>
    <w:rsid w:val="00CC7F6C"/>
    <w:rsid w:val="00CD1D97"/>
    <w:rsid w:val="00CD4393"/>
    <w:rsid w:val="00CE54F6"/>
    <w:rsid w:val="00CE6FFD"/>
    <w:rsid w:val="00CF4504"/>
    <w:rsid w:val="00CF6B00"/>
    <w:rsid w:val="00D04D87"/>
    <w:rsid w:val="00D064E2"/>
    <w:rsid w:val="00D14C3F"/>
    <w:rsid w:val="00D15691"/>
    <w:rsid w:val="00D16CF4"/>
    <w:rsid w:val="00D16F53"/>
    <w:rsid w:val="00D25551"/>
    <w:rsid w:val="00D32BF9"/>
    <w:rsid w:val="00D3676A"/>
    <w:rsid w:val="00D42989"/>
    <w:rsid w:val="00D45104"/>
    <w:rsid w:val="00D53F5E"/>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BAE"/>
    <w:rsid w:val="00DF597A"/>
    <w:rsid w:val="00E02353"/>
    <w:rsid w:val="00E02892"/>
    <w:rsid w:val="00E0298E"/>
    <w:rsid w:val="00E06155"/>
    <w:rsid w:val="00E10B57"/>
    <w:rsid w:val="00E235BC"/>
    <w:rsid w:val="00E25D28"/>
    <w:rsid w:val="00E26530"/>
    <w:rsid w:val="00E312CE"/>
    <w:rsid w:val="00E341DB"/>
    <w:rsid w:val="00E3694C"/>
    <w:rsid w:val="00E379D8"/>
    <w:rsid w:val="00E447BF"/>
    <w:rsid w:val="00E4567F"/>
    <w:rsid w:val="00E47698"/>
    <w:rsid w:val="00E6070D"/>
    <w:rsid w:val="00E66B22"/>
    <w:rsid w:val="00E708FF"/>
    <w:rsid w:val="00E71EC7"/>
    <w:rsid w:val="00E758A6"/>
    <w:rsid w:val="00E77701"/>
    <w:rsid w:val="00E9047A"/>
    <w:rsid w:val="00E90721"/>
    <w:rsid w:val="00EA1686"/>
    <w:rsid w:val="00EA2267"/>
    <w:rsid w:val="00EB2749"/>
    <w:rsid w:val="00EB75B4"/>
    <w:rsid w:val="00ED0D2B"/>
    <w:rsid w:val="00ED6F4A"/>
    <w:rsid w:val="00ED7570"/>
    <w:rsid w:val="00EF0578"/>
    <w:rsid w:val="00F110D4"/>
    <w:rsid w:val="00F152E1"/>
    <w:rsid w:val="00F3326D"/>
    <w:rsid w:val="00F366DE"/>
    <w:rsid w:val="00F52038"/>
    <w:rsid w:val="00F5399A"/>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E3AF-C576-4817-B249-20364356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7</cp:revision>
  <cp:lastPrinted>2022-11-03T05:29:00Z</cp:lastPrinted>
  <dcterms:created xsi:type="dcterms:W3CDTF">2022-10-27T12:02:00Z</dcterms:created>
  <dcterms:modified xsi:type="dcterms:W3CDTF">2022-11-04T06:38:00Z</dcterms:modified>
</cp:coreProperties>
</file>